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26" w:rsidRDefault="00407B26" w:rsidP="00407B26">
      <w:pPr>
        <w:spacing w:after="75" w:line="240" w:lineRule="auto"/>
        <w:jc w:val="center"/>
        <w:outlineLvl w:val="0"/>
        <w:rPr>
          <w:rFonts w:ascii="Arial" w:eastAsia="Times New Roman" w:hAnsi="Arial" w:cs="Arial"/>
          <w:color w:val="294A70"/>
          <w:kern w:val="36"/>
          <w:sz w:val="42"/>
          <w:szCs w:val="42"/>
          <w:lang w:eastAsia="ru-RU"/>
        </w:rPr>
      </w:pPr>
      <w:r w:rsidRPr="00407B26">
        <w:rPr>
          <w:rFonts w:ascii="Arial" w:eastAsia="Times New Roman" w:hAnsi="Arial" w:cs="Arial"/>
          <w:color w:val="294A70"/>
          <w:kern w:val="36"/>
          <w:sz w:val="42"/>
          <w:szCs w:val="42"/>
          <w:lang w:eastAsia="ru-RU"/>
        </w:rPr>
        <w:t>Регистрация на итоговое сочинение (изложение) в 2024-2025 учебном году</w:t>
      </w:r>
    </w:p>
    <w:p w:rsidR="00407B26" w:rsidRPr="00407B26" w:rsidRDefault="00407B26" w:rsidP="00407B26">
      <w:pPr>
        <w:spacing w:after="75" w:line="240" w:lineRule="auto"/>
        <w:jc w:val="center"/>
        <w:outlineLvl w:val="0"/>
        <w:rPr>
          <w:rFonts w:ascii="Arial" w:eastAsia="Times New Roman" w:hAnsi="Arial" w:cs="Arial"/>
          <w:color w:val="294A70"/>
          <w:kern w:val="36"/>
          <w:sz w:val="42"/>
          <w:szCs w:val="42"/>
          <w:lang w:eastAsia="ru-RU"/>
        </w:rPr>
      </w:pPr>
    </w:p>
    <w:p w:rsidR="00407B26" w:rsidRPr="00407B26" w:rsidRDefault="00407B26" w:rsidP="00407B26">
      <w:pPr>
        <w:shd w:val="clear" w:color="auto" w:fill="FFFFFF"/>
        <w:spacing w:after="225" w:line="240" w:lineRule="auto"/>
        <w:rPr>
          <w:rFonts w:ascii="Arial" w:eastAsia="Times New Roman" w:hAnsi="Arial" w:cs="Arial"/>
          <w:color w:val="666666"/>
          <w:sz w:val="24"/>
          <w:szCs w:val="24"/>
          <w:lang w:eastAsia="ru-RU"/>
        </w:rPr>
      </w:pPr>
      <w:r w:rsidRPr="00407B26">
        <w:rPr>
          <w:rFonts w:ascii="Arial" w:eastAsia="Times New Roman" w:hAnsi="Arial" w:cs="Arial"/>
          <w:color w:val="000000"/>
          <w:sz w:val="24"/>
          <w:szCs w:val="24"/>
          <w:lang w:eastAsia="ru-RU"/>
        </w:rPr>
        <w:t>Для участия в итоговом сочинении (изложении) участники подают заявление </w:t>
      </w:r>
      <w:r w:rsidRPr="00407B26">
        <w:rPr>
          <w:rFonts w:ascii="Arial" w:eastAsia="Times New Roman" w:hAnsi="Arial" w:cs="Arial"/>
          <w:b/>
          <w:bCs/>
          <w:color w:val="000000"/>
          <w:sz w:val="24"/>
          <w:szCs w:val="24"/>
          <w:lang w:eastAsia="ru-RU"/>
        </w:rPr>
        <w:t>не позднее чем за две недели</w:t>
      </w:r>
      <w:r w:rsidRPr="00407B26">
        <w:rPr>
          <w:rFonts w:ascii="Arial" w:eastAsia="Times New Roman" w:hAnsi="Arial" w:cs="Arial"/>
          <w:color w:val="000000"/>
          <w:sz w:val="24"/>
          <w:szCs w:val="24"/>
          <w:lang w:eastAsia="ru-RU"/>
        </w:rPr>
        <w:t> до начала проведения итогового сочинения (изложения).</w:t>
      </w:r>
    </w:p>
    <w:p w:rsidR="00407B26" w:rsidRPr="00407B26" w:rsidRDefault="00407B26" w:rsidP="00407B26">
      <w:pPr>
        <w:shd w:val="clear" w:color="auto" w:fill="FFFFFF"/>
        <w:spacing w:after="225" w:line="240" w:lineRule="auto"/>
        <w:rPr>
          <w:rFonts w:ascii="Arial" w:eastAsia="Times New Roman" w:hAnsi="Arial" w:cs="Arial"/>
          <w:color w:val="666666"/>
          <w:sz w:val="24"/>
          <w:szCs w:val="24"/>
          <w:lang w:eastAsia="ru-RU"/>
        </w:rPr>
      </w:pPr>
      <w:r w:rsidRPr="00407B26">
        <w:rPr>
          <w:rFonts w:ascii="Arial" w:eastAsia="Times New Roman" w:hAnsi="Arial" w:cs="Arial"/>
          <w:color w:val="000000"/>
          <w:sz w:val="24"/>
          <w:szCs w:val="24"/>
          <w:lang w:eastAsia="ru-RU"/>
        </w:rPr>
        <w:t>Регистрация выпускников текущего года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407B26" w:rsidRPr="00407B26" w:rsidRDefault="00407B26" w:rsidP="00407B26">
      <w:pPr>
        <w:shd w:val="clear" w:color="auto" w:fill="FFFFFF"/>
        <w:spacing w:after="225" w:line="240" w:lineRule="auto"/>
        <w:rPr>
          <w:rFonts w:ascii="Arial" w:eastAsia="Times New Roman" w:hAnsi="Arial" w:cs="Arial"/>
          <w:color w:val="666666"/>
          <w:sz w:val="24"/>
          <w:szCs w:val="24"/>
          <w:lang w:eastAsia="ru-RU"/>
        </w:rPr>
      </w:pPr>
      <w:r w:rsidRPr="00407B26">
        <w:rPr>
          <w:rFonts w:ascii="Arial" w:eastAsia="Times New Roman" w:hAnsi="Arial" w:cs="Arial"/>
          <w:color w:val="000000"/>
          <w:sz w:val="24"/>
          <w:szCs w:val="24"/>
          <w:lang w:eastAsia="ru-RU"/>
        </w:rPr>
        <w:t>Регистрации лиц других категорий </w:t>
      </w:r>
      <w:r w:rsidRPr="00407B26">
        <w:rPr>
          <w:rFonts w:ascii="Arial" w:eastAsia="Times New Roman" w:hAnsi="Arial" w:cs="Arial"/>
          <w:b/>
          <w:bCs/>
          <w:color w:val="FF0000"/>
          <w:sz w:val="24"/>
          <w:szCs w:val="24"/>
          <w:lang w:eastAsia="ru-RU"/>
        </w:rPr>
        <w:t>*</w:t>
      </w:r>
      <w:r w:rsidRPr="00407B26">
        <w:rPr>
          <w:rFonts w:ascii="Arial" w:eastAsia="Times New Roman" w:hAnsi="Arial" w:cs="Arial"/>
          <w:color w:val="000000"/>
          <w:sz w:val="24"/>
          <w:szCs w:val="24"/>
          <w:lang w:eastAsia="ru-RU"/>
        </w:rPr>
        <w:t>, желающих написать итоговое сочинение в целях использования его результатов при приеме в образовательные организации высшего образования, проводится в органах местного самоуправления, осуществляющих управление в сфере образования.</w:t>
      </w:r>
      <w:r w:rsidRPr="00407B26">
        <w:rPr>
          <w:rFonts w:ascii="Arial" w:eastAsia="Times New Roman" w:hAnsi="Arial" w:cs="Arial"/>
          <w:color w:val="000000"/>
          <w:sz w:val="24"/>
          <w:szCs w:val="24"/>
          <w:lang w:eastAsia="ru-RU"/>
        </w:rPr>
        <w:br/>
      </w:r>
    </w:p>
    <w:tbl>
      <w:tblPr>
        <w:tblW w:w="8864" w:type="dxa"/>
        <w:tblCellMar>
          <w:top w:w="15" w:type="dxa"/>
          <w:left w:w="15" w:type="dxa"/>
          <w:bottom w:w="15" w:type="dxa"/>
          <w:right w:w="15" w:type="dxa"/>
        </w:tblCellMar>
        <w:tblLook w:val="04A0" w:firstRow="1" w:lastRow="0" w:firstColumn="1" w:lastColumn="0" w:noHBand="0" w:noVBand="1"/>
      </w:tblPr>
      <w:tblGrid>
        <w:gridCol w:w="642"/>
        <w:gridCol w:w="3969"/>
        <w:gridCol w:w="4253"/>
      </w:tblGrid>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b/>
                <w:bCs/>
                <w:sz w:val="20"/>
                <w:szCs w:val="20"/>
                <w:lang w:eastAsia="ru-RU"/>
              </w:rPr>
              <w:t>№ п/п</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b/>
                <w:bCs/>
                <w:sz w:val="20"/>
                <w:szCs w:val="20"/>
                <w:lang w:eastAsia="ru-RU"/>
              </w:rPr>
              <w:t>Место регистрации на сдачу единого государственного экзамена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b/>
                <w:bCs/>
                <w:sz w:val="20"/>
                <w:szCs w:val="20"/>
                <w:lang w:eastAsia="ru-RU"/>
              </w:rPr>
              <w:t>Адрес места регистрации</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b/>
                <w:bCs/>
                <w:sz w:val="20"/>
                <w:szCs w:val="20"/>
                <w:lang w:eastAsia="ru-RU"/>
              </w:rPr>
              <w:t>1</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города Пензы</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440026, г. Пенза, ул. Володарского, 5</w:t>
            </w:r>
            <w:r w:rsidRPr="00407B26">
              <w:rPr>
                <w:rFonts w:ascii="Times New Roman" w:eastAsia="Times New Roman" w:hAnsi="Times New Roman" w:cs="Times New Roman"/>
                <w:sz w:val="20"/>
                <w:szCs w:val="20"/>
                <w:lang w:eastAsia="ru-RU"/>
              </w:rPr>
              <w:br/>
              <w:t>тел. 8(8412) 56-13-24</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Департамент образования города Заречного</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442962, г. Заречный, ул. Строителей, 20</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3</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города Кузнецка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442537, г. Кузнецк, ул. Белинского, 11</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Башмаковского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442060, р.п. Башмаково, ул. Шайкова, 18</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5</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Бековского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442940, р.п. Беково, ул. Советская, 25</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6</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Бессоновского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442780, с. Бессоновка, ул. Комсомольская, 1б</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7</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Белинского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442250, г. Белинский, ул. Комсомольская площадь, 19</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8</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Вадинского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442170, с. Вадинск, ул. площадь Ленина, 19</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9</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Городищенского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442310, г. Городище, ул. Комсомольская, 29</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lastRenderedPageBreak/>
              <w:t>10</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Земетчинского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442000, р.п. Земетчино, ул. Кирова, 86</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11</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Иссинского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442710, р.п. Исса, ул. Садовая, 6</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12</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Каменского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442246, г. Каменка, ул. Чкалова, 20</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13</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Камешкирского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442450, с. Русский Камешкир, ул. Радищева, 5</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14</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Колышлейского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442830, п. Колышлей, ул. Московская, 20</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15</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Кузнецкого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442530, г. Кузнецк, ул. Комсомольская, 51</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16</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Лопатинского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442550, с. Лопатино, ул. Пионерская, 18в</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17</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Лунинского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442730, р.п. Лунино, ул. Советская, 40</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18</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Малосердобинского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442800, с. Малая Сердоба, ул. Ленинская, 49</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19</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Мокшанского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442370, р.п. Мокшан, ул. Советская, 25</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20</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Наровчатского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442630, с. Наровчат, ул. Советская, 28</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21</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Неверкинского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442480, с. Неверкино, ул. Куйбышева, 16</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22</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Никольского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442680, г. Никольск, ул. Московская, 2</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23</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Нижнеломовского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442150, г. Нижний Ломов, ул. Рабочая, 3 (фактический адрес: ул. Сергеева, 79а)</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24</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Пачелмского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442100, р.п. Пачелма, ул. Кирова, 7</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25</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 xml:space="preserve">Отдел образования администрации </w:t>
            </w:r>
            <w:r w:rsidRPr="00407B26">
              <w:rPr>
                <w:rFonts w:ascii="Times New Roman" w:eastAsia="Times New Roman" w:hAnsi="Times New Roman" w:cs="Times New Roman"/>
                <w:sz w:val="20"/>
                <w:szCs w:val="20"/>
                <w:lang w:eastAsia="ru-RU"/>
              </w:rPr>
              <w:lastRenderedPageBreak/>
              <w:t>Пензенского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lastRenderedPageBreak/>
              <w:t>442400, с. Кондоль, ул. Нагорная, 17</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lastRenderedPageBreak/>
              <w:t>26</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администрации Спасского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442600, г. Спасск, ул. Советская, 22</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27</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Сердобского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442895, г. Сердобск, ул. Кирова, 17</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28</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Сосновоборского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442570, р.п. Сосновоборск, ул. Ленина, 65</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29</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Отдел образования Тамалинского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442900, р.п. Тамала, ул. Школьная, 2</w:t>
            </w:r>
          </w:p>
        </w:tc>
      </w:tr>
      <w:tr w:rsidR="00407B26" w:rsidRPr="00407B26" w:rsidTr="00407B26">
        <w:tc>
          <w:tcPr>
            <w:tcW w:w="64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30</w:t>
            </w:r>
          </w:p>
        </w:tc>
        <w:tc>
          <w:tcPr>
            <w:tcW w:w="39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Управление образования администрации Шемышейского района</w:t>
            </w:r>
          </w:p>
        </w:tc>
        <w:tc>
          <w:tcPr>
            <w:tcW w:w="425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407B26" w:rsidRPr="00407B26" w:rsidRDefault="00407B26" w:rsidP="00407B26">
            <w:pPr>
              <w:spacing w:after="360" w:line="240" w:lineRule="auto"/>
              <w:jc w:val="center"/>
              <w:rPr>
                <w:rFonts w:ascii="Times New Roman" w:eastAsia="Times New Roman" w:hAnsi="Times New Roman" w:cs="Times New Roman"/>
                <w:sz w:val="20"/>
                <w:szCs w:val="20"/>
                <w:lang w:eastAsia="ru-RU"/>
              </w:rPr>
            </w:pPr>
            <w:r w:rsidRPr="00407B26">
              <w:rPr>
                <w:rFonts w:ascii="Times New Roman" w:eastAsia="Times New Roman" w:hAnsi="Times New Roman" w:cs="Times New Roman"/>
                <w:sz w:val="20"/>
                <w:szCs w:val="20"/>
                <w:lang w:eastAsia="ru-RU"/>
              </w:rPr>
              <w:t>442430, р.п. Шемышейка, ул. Ленина, 21</w:t>
            </w:r>
          </w:p>
        </w:tc>
      </w:tr>
    </w:tbl>
    <w:p w:rsidR="00407B26" w:rsidRPr="00407B26" w:rsidRDefault="00407B26" w:rsidP="00407B26">
      <w:pPr>
        <w:shd w:val="clear" w:color="auto" w:fill="F9F9F9"/>
        <w:spacing w:after="225" w:line="240" w:lineRule="auto"/>
        <w:rPr>
          <w:rFonts w:ascii="Arial" w:eastAsia="Times New Roman" w:hAnsi="Arial" w:cs="Arial"/>
          <w:i/>
          <w:iCs/>
          <w:color w:val="666666"/>
          <w:sz w:val="24"/>
          <w:szCs w:val="24"/>
          <w:lang w:eastAsia="ru-RU"/>
        </w:rPr>
      </w:pPr>
      <w:r w:rsidRPr="00407B26">
        <w:rPr>
          <w:rFonts w:ascii="Arial" w:eastAsia="Times New Roman" w:hAnsi="Arial" w:cs="Arial"/>
          <w:b/>
          <w:bCs/>
          <w:i/>
          <w:iCs/>
          <w:color w:val="FF0000"/>
          <w:sz w:val="24"/>
          <w:szCs w:val="24"/>
          <w:lang w:eastAsia="ru-RU"/>
        </w:rPr>
        <w:t>*</w:t>
      </w:r>
      <w:r w:rsidRPr="00407B26">
        <w:rPr>
          <w:rFonts w:ascii="Arial" w:eastAsia="Times New Roman" w:hAnsi="Arial" w:cs="Arial"/>
          <w:i/>
          <w:iCs/>
          <w:color w:val="000000"/>
          <w:sz w:val="24"/>
          <w:szCs w:val="24"/>
          <w:lang w:eastAsia="ru-RU"/>
        </w:rPr>
        <w:t>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407B26" w:rsidRPr="00407B26" w:rsidRDefault="00407B26" w:rsidP="00407B26">
      <w:pPr>
        <w:numPr>
          <w:ilvl w:val="0"/>
          <w:numId w:val="1"/>
        </w:numPr>
        <w:shd w:val="clear" w:color="auto" w:fill="F9F9F9"/>
        <w:spacing w:after="0" w:line="240" w:lineRule="auto"/>
        <w:ind w:left="0"/>
        <w:rPr>
          <w:rFonts w:ascii="Arial" w:eastAsia="Times New Roman" w:hAnsi="Arial" w:cs="Arial"/>
          <w:i/>
          <w:iCs/>
          <w:color w:val="666666"/>
          <w:sz w:val="24"/>
          <w:szCs w:val="24"/>
          <w:lang w:eastAsia="ru-RU"/>
        </w:rPr>
      </w:pPr>
      <w:r w:rsidRPr="00407B26">
        <w:rPr>
          <w:rFonts w:ascii="Arial" w:eastAsia="Times New Roman" w:hAnsi="Arial" w:cs="Arial"/>
          <w:i/>
          <w:iCs/>
          <w:color w:val="000000"/>
          <w:sz w:val="24"/>
          <w:szCs w:val="24"/>
          <w:lang w:eastAsia="ru-RU"/>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w:t>
      </w:r>
      <w:bookmarkStart w:id="0" w:name="_GoBack"/>
      <w:bookmarkEnd w:id="0"/>
      <w:r w:rsidRPr="00407B26">
        <w:rPr>
          <w:rFonts w:ascii="Arial" w:eastAsia="Times New Roman" w:hAnsi="Arial" w:cs="Arial"/>
          <w:i/>
          <w:iCs/>
          <w:color w:val="000000"/>
          <w:sz w:val="24"/>
          <w:szCs w:val="24"/>
          <w:lang w:eastAsia="ru-RU"/>
        </w:rPr>
        <w:t>е вместе – выпускники прошлых лет);</w:t>
      </w:r>
      <w:r w:rsidRPr="00407B26">
        <w:rPr>
          <w:rFonts w:ascii="Arial" w:eastAsia="Times New Roman" w:hAnsi="Arial" w:cs="Arial"/>
          <w:i/>
          <w:iCs/>
          <w:color w:val="000000"/>
          <w:sz w:val="24"/>
          <w:szCs w:val="24"/>
          <w:lang w:eastAsia="ru-RU"/>
        </w:rPr>
        <w:br/>
      </w:r>
    </w:p>
    <w:p w:rsidR="00407B26" w:rsidRPr="00407B26" w:rsidRDefault="00407B26" w:rsidP="00407B26">
      <w:pPr>
        <w:numPr>
          <w:ilvl w:val="0"/>
          <w:numId w:val="1"/>
        </w:numPr>
        <w:shd w:val="clear" w:color="auto" w:fill="F9F9F9"/>
        <w:spacing w:after="0" w:line="240" w:lineRule="auto"/>
        <w:ind w:left="0"/>
        <w:rPr>
          <w:rFonts w:ascii="Arial" w:eastAsia="Times New Roman" w:hAnsi="Arial" w:cs="Arial"/>
          <w:i/>
          <w:iCs/>
          <w:color w:val="666666"/>
          <w:sz w:val="24"/>
          <w:szCs w:val="24"/>
          <w:lang w:eastAsia="ru-RU"/>
        </w:rPr>
      </w:pPr>
      <w:r w:rsidRPr="00407B26">
        <w:rPr>
          <w:rFonts w:ascii="Arial" w:eastAsia="Times New Roman" w:hAnsi="Arial" w:cs="Arial"/>
          <w:i/>
          <w:iCs/>
          <w:color w:val="000000"/>
          <w:sz w:val="24"/>
          <w:szCs w:val="24"/>
          <w:lang w:eastAsia="ru-RU"/>
        </w:rPr>
        <w:t>лиц, обучающихся по образовательным программам среднего профессионального образования, не имеющих среднего общего образования;</w:t>
      </w:r>
      <w:r w:rsidRPr="00407B26">
        <w:rPr>
          <w:rFonts w:ascii="Arial" w:eastAsia="Times New Roman" w:hAnsi="Arial" w:cs="Arial"/>
          <w:i/>
          <w:iCs/>
          <w:color w:val="000000"/>
          <w:sz w:val="24"/>
          <w:szCs w:val="24"/>
          <w:lang w:eastAsia="ru-RU"/>
        </w:rPr>
        <w:br/>
      </w:r>
    </w:p>
    <w:p w:rsidR="00407B26" w:rsidRPr="00407B26" w:rsidRDefault="00407B26" w:rsidP="00407B26">
      <w:pPr>
        <w:numPr>
          <w:ilvl w:val="0"/>
          <w:numId w:val="1"/>
        </w:numPr>
        <w:shd w:val="clear" w:color="auto" w:fill="F9F9F9"/>
        <w:spacing w:after="0" w:line="240" w:lineRule="auto"/>
        <w:ind w:left="0"/>
        <w:rPr>
          <w:rFonts w:ascii="Arial" w:eastAsia="Times New Roman" w:hAnsi="Arial" w:cs="Arial"/>
          <w:i/>
          <w:iCs/>
          <w:color w:val="666666"/>
          <w:sz w:val="24"/>
          <w:szCs w:val="24"/>
          <w:lang w:eastAsia="ru-RU"/>
        </w:rPr>
      </w:pPr>
      <w:r w:rsidRPr="00407B26">
        <w:rPr>
          <w:rFonts w:ascii="Arial" w:eastAsia="Times New Roman" w:hAnsi="Arial" w:cs="Arial"/>
          <w:i/>
          <w:iCs/>
          <w:color w:val="000000"/>
          <w:sz w:val="24"/>
          <w:szCs w:val="24"/>
          <w:lang w:eastAsia="ru-RU"/>
        </w:rPr>
        <w:t>лиц, получающих среднее общее образование в иностранных организациях, осуществляющих образовательную деятельность;</w:t>
      </w:r>
      <w:r w:rsidRPr="00407B26">
        <w:rPr>
          <w:rFonts w:ascii="Arial" w:eastAsia="Times New Roman" w:hAnsi="Arial" w:cs="Arial"/>
          <w:i/>
          <w:iCs/>
          <w:color w:val="000000"/>
          <w:sz w:val="24"/>
          <w:szCs w:val="24"/>
          <w:lang w:eastAsia="ru-RU"/>
        </w:rPr>
        <w:br/>
      </w:r>
    </w:p>
    <w:p w:rsidR="00407B26" w:rsidRPr="00407B26" w:rsidRDefault="00407B26" w:rsidP="00407B26">
      <w:pPr>
        <w:numPr>
          <w:ilvl w:val="0"/>
          <w:numId w:val="1"/>
        </w:numPr>
        <w:shd w:val="clear" w:color="auto" w:fill="F9F9F9"/>
        <w:spacing w:line="240" w:lineRule="auto"/>
        <w:ind w:left="0"/>
        <w:rPr>
          <w:rFonts w:ascii="Arial" w:eastAsia="Times New Roman" w:hAnsi="Arial" w:cs="Arial"/>
          <w:i/>
          <w:iCs/>
          <w:color w:val="666666"/>
          <w:sz w:val="24"/>
          <w:szCs w:val="24"/>
          <w:lang w:eastAsia="ru-RU"/>
        </w:rPr>
      </w:pPr>
      <w:r w:rsidRPr="00407B26">
        <w:rPr>
          <w:rFonts w:ascii="Arial" w:eastAsia="Times New Roman" w:hAnsi="Arial" w:cs="Arial"/>
          <w:i/>
          <w:iCs/>
          <w:color w:val="000000"/>
          <w:sz w:val="24"/>
          <w:szCs w:val="24"/>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736202" w:rsidRDefault="00736202"/>
    <w:sectPr w:rsidR="0073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E64F5"/>
    <w:multiLevelType w:val="multilevel"/>
    <w:tmpl w:val="A07C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26"/>
    <w:rsid w:val="00407B26"/>
    <w:rsid w:val="0073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7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B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7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7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B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7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11389">
      <w:bodyDiv w:val="1"/>
      <w:marLeft w:val="0"/>
      <w:marRight w:val="0"/>
      <w:marTop w:val="0"/>
      <w:marBottom w:val="0"/>
      <w:divBdr>
        <w:top w:val="none" w:sz="0" w:space="0" w:color="auto"/>
        <w:left w:val="none" w:sz="0" w:space="0" w:color="auto"/>
        <w:bottom w:val="none" w:sz="0" w:space="0" w:color="auto"/>
        <w:right w:val="none" w:sz="0" w:space="0" w:color="auto"/>
      </w:divBdr>
      <w:divsChild>
        <w:div w:id="613441128">
          <w:marLeft w:val="0"/>
          <w:marRight w:val="0"/>
          <w:marTop w:val="360"/>
          <w:marBottom w:val="0"/>
          <w:divBdr>
            <w:top w:val="none" w:sz="0" w:space="0" w:color="auto"/>
            <w:left w:val="none" w:sz="0" w:space="0" w:color="auto"/>
            <w:bottom w:val="none" w:sz="0" w:space="0" w:color="auto"/>
            <w:right w:val="none" w:sz="0" w:space="0" w:color="auto"/>
          </w:divBdr>
          <w:divsChild>
            <w:div w:id="1821573171">
              <w:blockQuote w:val="1"/>
              <w:marLeft w:val="0"/>
              <w:marRight w:val="0"/>
              <w:marTop w:val="0"/>
              <w:marBottom w:val="225"/>
              <w:divBdr>
                <w:top w:val="none" w:sz="0" w:space="0" w:color="auto"/>
                <w:left w:val="single" w:sz="24" w:space="15" w:color="FFAB1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13</cp:lastModifiedBy>
  <cp:revision>1</cp:revision>
  <dcterms:created xsi:type="dcterms:W3CDTF">2024-11-13T06:34:00Z</dcterms:created>
  <dcterms:modified xsi:type="dcterms:W3CDTF">2024-11-13T06:36:00Z</dcterms:modified>
</cp:coreProperties>
</file>